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36"/>
        <w:rPr>
          <w:rFonts w:hint="default" w:ascii="Times New Roman" w:hAnsi="Times New Roman" w:eastAsia="楷体_GB2312" w:cs="Times New Roman"/>
          <w:sz w:val="32"/>
          <w:szCs w:val="32"/>
        </w:rPr>
      </w:pPr>
    </w:p>
    <w:p>
      <w:pPr>
        <w:spacing w:line="440" w:lineRule="exact"/>
        <w:ind w:right="36"/>
        <w:rPr>
          <w:rFonts w:hint="default" w:ascii="Times New Roman" w:hAnsi="Times New Roman" w:eastAsia="楷体_GB2312" w:cs="Times New Roman"/>
          <w:sz w:val="32"/>
          <w:szCs w:val="32"/>
        </w:rPr>
      </w:pPr>
    </w:p>
    <w:p>
      <w:pPr>
        <w:adjustRightInd w:val="0"/>
        <w:rPr>
          <w:rFonts w:hint="default" w:ascii="Times New Roman" w:hAnsi="Times New Roman" w:cs="Times New Roman"/>
          <w:szCs w:val="32"/>
        </w:rPr>
      </w:pPr>
    </w:p>
    <w:p>
      <w:pPr>
        <w:spacing w:line="580" w:lineRule="exact"/>
        <w:rPr>
          <w:rFonts w:hint="default" w:ascii="Times New Roman" w:hAnsi="Times New Roman" w:cs="Times New Roman"/>
        </w:rPr>
      </w:pPr>
    </w:p>
    <w:p>
      <w:pPr>
        <w:tabs>
          <w:tab w:val="left" w:pos="8763"/>
        </w:tabs>
        <w:adjustRightInd w:val="0"/>
        <w:spacing w:line="1600" w:lineRule="exact"/>
        <w:ind w:left="-2" w:leftChars="-12" w:right="53" w:rightChars="25" w:hanging="23" w:hangingChars="3"/>
        <w:jc w:val="right"/>
        <w:rPr>
          <w:rFonts w:hint="default" w:ascii="Times New Roman" w:hAnsi="Times New Roman" w:eastAsia="方正大标宋简体" w:cs="Times New Roman"/>
          <w:color w:val="FF0000"/>
          <w:spacing w:val="30"/>
          <w:w w:val="50"/>
          <w:sz w:val="144"/>
          <w:szCs w:val="144"/>
        </w:rPr>
      </w:pPr>
      <w:r>
        <w:rPr>
          <w:rFonts w:hint="default" w:ascii="Times New Roman" w:hAnsi="Times New Roman" w:eastAsia="方正大标宋简体" w:cs="Times New Roman"/>
          <w:color w:val="FF0000"/>
          <w:spacing w:val="10"/>
          <w:w w:val="55"/>
          <w:sz w:val="140"/>
          <w:szCs w:val="140"/>
        </w:rPr>
        <w:t>中国共产党如东县委</w:t>
      </w:r>
      <w:r>
        <w:rPr>
          <w:rFonts w:hint="default" w:ascii="Times New Roman" w:hAnsi="Times New Roman" w:eastAsia="方正大标宋简体" w:cs="Times New Roman"/>
          <w:color w:val="FF0000"/>
          <w:spacing w:val="10"/>
          <w:w w:val="58"/>
          <w:sz w:val="140"/>
          <w:szCs w:val="140"/>
        </w:rPr>
        <w:t>员</w:t>
      </w:r>
      <w:r>
        <w:rPr>
          <w:rFonts w:hint="default" w:ascii="Times New Roman" w:hAnsi="Times New Roman" w:eastAsia="方正大标宋简体" w:cs="Times New Roman"/>
          <w:color w:val="FF0000"/>
          <w:spacing w:val="10"/>
          <w:w w:val="55"/>
          <w:sz w:val="140"/>
          <w:szCs w:val="140"/>
        </w:rPr>
        <w:t>会</w:t>
      </w:r>
    </w:p>
    <w:p>
      <w:pPr>
        <w:adjustRightInd w:val="0"/>
        <w:rPr>
          <w:rFonts w:hint="default" w:ascii="Times New Roman" w:hAnsi="Times New Roman" w:cs="Times New Roman"/>
          <w:szCs w:val="32"/>
        </w:rPr>
      </w:pPr>
    </w:p>
    <w:p>
      <w:pPr>
        <w:pBdr>
          <w:between w:val="single" w:color="FF0000" w:sz="18" w:space="1"/>
        </w:pBdr>
        <w:adjustRightInd w:val="0"/>
        <w:spacing w:line="480" w:lineRule="exact"/>
        <w:ind w:firstLine="121" w:firstLineChars="38"/>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东委〔2023〕20号</w:t>
      </w:r>
    </w:p>
    <w:tbl>
      <w:tblPr>
        <w:tblStyle w:val="7"/>
        <w:tblW w:w="8927" w:type="dxa"/>
        <w:jc w:val="center"/>
        <w:tblLayout w:type="autofit"/>
        <w:tblCellMar>
          <w:top w:w="0" w:type="dxa"/>
          <w:left w:w="108" w:type="dxa"/>
          <w:bottom w:w="0" w:type="dxa"/>
          <w:right w:w="108" w:type="dxa"/>
        </w:tblCellMar>
      </w:tblPr>
      <w:tblGrid>
        <w:gridCol w:w="8927"/>
      </w:tblGrid>
      <w:tr>
        <w:tblPrEx>
          <w:tblCellMar>
            <w:top w:w="0" w:type="dxa"/>
            <w:left w:w="108" w:type="dxa"/>
            <w:bottom w:w="0" w:type="dxa"/>
            <w:right w:w="108" w:type="dxa"/>
          </w:tblCellMar>
        </w:tblPrEx>
        <w:trPr>
          <w:trHeight w:val="26" w:hRule="atLeast"/>
          <w:jc w:val="center"/>
        </w:trPr>
        <w:tc>
          <w:tcPr>
            <w:tcW w:w="8927" w:type="dxa"/>
            <w:tcBorders>
              <w:top w:val="nil"/>
              <w:left w:val="nil"/>
              <w:bottom w:val="single" w:color="FF0000" w:sz="18" w:space="0"/>
              <w:right w:val="nil"/>
            </w:tcBorders>
          </w:tcPr>
          <w:p>
            <w:pPr>
              <w:pBdr>
                <w:between w:val="single" w:color="FF0000" w:sz="18" w:space="1"/>
              </w:pBdr>
              <w:adjustRightInd w:val="0"/>
              <w:snapToGrid w:val="0"/>
              <w:spacing w:line="240" w:lineRule="exact"/>
              <w:rPr>
                <w:rFonts w:hint="default" w:ascii="Times New Roman" w:hAnsi="Times New Roman" w:cs="Times New Roman"/>
              </w:rPr>
            </w:pPr>
          </w:p>
        </w:tc>
      </w:tr>
      <w:tr>
        <w:tblPrEx>
          <w:tblCellMar>
            <w:top w:w="0" w:type="dxa"/>
            <w:left w:w="108" w:type="dxa"/>
            <w:bottom w:w="0" w:type="dxa"/>
            <w:right w:w="108" w:type="dxa"/>
          </w:tblCellMar>
        </w:tblPrEx>
        <w:trPr>
          <w:trHeight w:val="100" w:hRule="atLeast"/>
          <w:jc w:val="center"/>
        </w:trPr>
        <w:tc>
          <w:tcPr>
            <w:tcW w:w="8927" w:type="dxa"/>
            <w:tcBorders>
              <w:top w:val="single" w:color="FF0000" w:sz="18" w:space="0"/>
              <w:left w:val="nil"/>
              <w:bottom w:val="nil"/>
              <w:right w:val="nil"/>
            </w:tcBorders>
          </w:tcPr>
          <w:p>
            <w:pPr>
              <w:pBdr>
                <w:between w:val="single" w:color="FF0000" w:sz="18" w:space="1"/>
              </w:pBdr>
              <w:adjustRightInd w:val="0"/>
              <w:snapToGrid w:val="0"/>
              <w:spacing w:line="240" w:lineRule="exact"/>
              <w:rPr>
                <w:rFonts w:hint="default" w:ascii="Times New Roman" w:hAnsi="Times New Roman" w:cs="Times New Roman"/>
              </w:rPr>
            </w:pPr>
          </w:p>
        </w:tc>
      </w:tr>
    </w:tbl>
    <w:p>
      <w:pPr>
        <w:spacing w:line="590" w:lineRule="exact"/>
        <w:jc w:val="center"/>
        <w:rPr>
          <w:rFonts w:hint="default" w:ascii="Times New Roman" w:hAnsi="Times New Roman" w:eastAsia="方正小标宋简体" w:cs="Times New Roman"/>
          <w:sz w:val="44"/>
          <w:szCs w:val="44"/>
        </w:rPr>
      </w:pPr>
    </w:p>
    <w:p>
      <w:pPr>
        <w:spacing w:line="59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中共如东县委 如东县人民政府</w: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印发《关于推动经济运行持续整体好转</w:t>
      </w:r>
    </w:p>
    <w:p>
      <w:pPr>
        <w:spacing w:line="640" w:lineRule="exact"/>
        <w:jc w:val="center"/>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rPr>
        <w:t>促进重点产业繁荣发展的若干政策措施》的通知</w:t>
      </w:r>
    </w:p>
    <w:p>
      <w:pPr>
        <w:spacing w:line="590" w:lineRule="exact"/>
        <w:jc w:val="left"/>
        <w:rPr>
          <w:rFonts w:hint="default" w:ascii="Times New Roman" w:hAnsi="Times New Roman" w:eastAsia="方正小标宋简体" w:cs="Times New Roman"/>
          <w:sz w:val="44"/>
          <w:szCs w:val="44"/>
        </w:rPr>
      </w:pPr>
    </w:p>
    <w:p>
      <w:pPr>
        <w:spacing w:line="59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各镇党委、政府，各区党工委、管委会，各街道党工委、办事处，县委各部委办局，县各委办局，县各群团组织，县各直属单位，县属各国有企业，各垂直管理部门：</w:t>
      </w:r>
    </w:p>
    <w:p>
      <w:pPr>
        <w:adjustRightInd w:val="0"/>
        <w:snapToGrid w:val="0"/>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rPr>
        <w:t>关于推动经济运行持续整体好转促进重点产业繁荣发展的若干政策措施</w:t>
      </w:r>
      <w:r>
        <w:rPr>
          <w:rFonts w:hint="default" w:ascii="Times New Roman" w:hAnsi="Times New Roman" w:eastAsia="仿宋_GB2312" w:cs="Times New Roman"/>
          <w:sz w:val="32"/>
          <w:szCs w:val="32"/>
        </w:rPr>
        <w:t>》印发给你们，请认真贯彻执行。</w:t>
      </w:r>
    </w:p>
    <w:p>
      <w:pPr>
        <w:adjustRightInd w:val="0"/>
        <w:snapToGrid w:val="0"/>
        <w:spacing w:line="500" w:lineRule="exact"/>
        <w:jc w:val="distribute"/>
        <w:rPr>
          <w:rFonts w:hint="default" w:ascii="Times New Roman" w:hAnsi="Times New Roman" w:eastAsia="仿宋_GB2312" w:cs="Times New Roman"/>
          <w:w w:val="97"/>
          <w:sz w:val="32"/>
          <w:szCs w:val="32"/>
        </w:rPr>
      </w:pPr>
    </w:p>
    <w:p>
      <w:pPr>
        <w:adjustRightInd w:val="0"/>
        <w:snapToGrid w:val="0"/>
        <w:spacing w:line="500" w:lineRule="exact"/>
        <w:jc w:val="distribute"/>
        <w:rPr>
          <w:rFonts w:hint="default" w:ascii="Times New Roman" w:hAnsi="Times New Roman" w:eastAsia="仿宋_GB2312" w:cs="Times New Roman"/>
          <w:w w:val="97"/>
          <w:sz w:val="32"/>
          <w:szCs w:val="32"/>
        </w:rPr>
      </w:pPr>
    </w:p>
    <w:p>
      <w:pPr>
        <w:wordWrap w:val="0"/>
        <w:adjustRightInd w:val="0"/>
        <w:snapToGrid w:val="0"/>
        <w:spacing w:line="59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中共如东县委员会       </w:t>
      </w:r>
      <w:r>
        <w:rPr>
          <w:rFonts w:hint="default" w:ascii="Times New Roman" w:hAnsi="Times New Roman" w:eastAsia="仿宋_GB2312" w:cs="Times New Roman"/>
          <w:spacing w:val="34"/>
          <w:sz w:val="32"/>
          <w:szCs w:val="32"/>
        </w:rPr>
        <w:t>如东县人民政府</w:t>
      </w:r>
      <w:r>
        <w:rPr>
          <w:rFonts w:hint="default" w:ascii="Times New Roman" w:hAnsi="Times New Roman" w:eastAsia="仿宋_GB2312" w:cs="Times New Roman"/>
          <w:spacing w:val="34"/>
          <w:sz w:val="32"/>
          <w:szCs w:val="32"/>
        </w:rPr>
        <w:t xml:space="preserve">     </w:t>
      </w:r>
    </w:p>
    <w:p>
      <w:pPr>
        <w:snapToGrid w:val="0"/>
        <w:spacing w:line="59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 xml:space="preserve">  </w:t>
      </w:r>
    </w:p>
    <w:p>
      <w:pPr>
        <w:snapToGrid w:val="0"/>
        <w:spacing w:line="59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关于推动经济运行持续整体好转</w:t>
      </w:r>
    </w:p>
    <w:p>
      <w:pPr>
        <w:snapToGrid w:val="0"/>
        <w:spacing w:line="59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促进重点产业繁荣发展的若干政策措施</w:t>
      </w:r>
    </w:p>
    <w:p>
      <w:pPr>
        <w:snapToGrid w:val="0"/>
        <w:spacing w:line="590" w:lineRule="exact"/>
        <w:ind w:firstLine="880" w:firstLineChars="200"/>
        <w:rPr>
          <w:rFonts w:hint="default" w:ascii="Times New Roman" w:hAnsi="Times New Roman" w:eastAsia="方正小标宋简体" w:cs="Times New Roman"/>
          <w:sz w:val="44"/>
          <w:szCs w:val="44"/>
        </w:rPr>
      </w:pPr>
    </w:p>
    <w:p>
      <w:pPr>
        <w:spacing w:line="59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为深入贯彻党的二十大精神，认真落实中央经济工作会议和省委经济工作会议决策部署，细化量化实化省、市、县政府推动经济运行整体好转的相关政策措施，加快提振市场信心、稳定发展预期，积极营造“干部敢为、地方敢闯、企业敢干、群众敢首创”发展氛围，全力推动经济运行持续整体好转，实现质的有效提升和量的合理增长，结合我县实际，提出以下政策措施。</w:t>
      </w:r>
    </w:p>
    <w:p>
      <w:pPr>
        <w:pStyle w:val="6"/>
        <w:overflowPunct w:val="0"/>
        <w:spacing w:beforeAutospacing="0" w:afterAutospacing="0" w:line="59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一、支持企业转型升级</w:t>
      </w:r>
    </w:p>
    <w:p>
      <w:pPr>
        <w:spacing w:line="59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仿宋_GB2312" w:cs="Times New Roman"/>
          <w:snapToGrid w:val="0"/>
          <w:kern w:val="0"/>
          <w:sz w:val="32"/>
          <w:szCs w:val="32"/>
        </w:rPr>
        <w:t>1.安排县级经济高质量发展专项资金1亿元，推进我县新能源、新材料、智能通讯及电网装备等三大重点产业集群以及半导体、生命健康、安全防护、新型植保、食品等特色产业加快发展。引导鼓励企业向上争取中央、省级资金支持。</w:t>
      </w:r>
      <w:r>
        <w:rPr>
          <w:rFonts w:hint="default" w:ascii="Times New Roman" w:hAnsi="Times New Roman" w:eastAsia="楷体_GB2312" w:cs="Times New Roman"/>
          <w:snapToGrid w:val="0"/>
          <w:kern w:val="0"/>
          <w:sz w:val="32"/>
          <w:szCs w:val="32"/>
        </w:rPr>
        <w:t>（责任单位：县财政局、县发改委等有关部门）</w:t>
      </w:r>
    </w:p>
    <w:p>
      <w:pPr>
        <w:spacing w:line="59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仿宋_GB2312" w:cs="Times New Roman"/>
          <w:snapToGrid w:val="0"/>
          <w:kern w:val="0"/>
          <w:sz w:val="32"/>
          <w:szCs w:val="32"/>
        </w:rPr>
        <w:t>2.通过政府购买服务的方式，聘请国内信息化领域相关专家，组建诊断服务组，免费为相关工业企业提供咨询诊断服务，形成专业性、具体可操作的书面诊断报告反馈给企业，帮助企业解决智能化改造和数字化转型过程中的堵点、难点和痛点，精准匹配企业需求，提供“智改数转”最优解决方案和实施路径，推动企业提升“智改数转”质效。</w:t>
      </w:r>
      <w:r>
        <w:rPr>
          <w:rFonts w:hint="default" w:ascii="Times New Roman" w:hAnsi="Times New Roman" w:eastAsia="楷体_GB2312" w:cs="Times New Roman"/>
          <w:snapToGrid w:val="0"/>
          <w:kern w:val="0"/>
          <w:sz w:val="32"/>
          <w:szCs w:val="32"/>
        </w:rPr>
        <w:t>（责任单位：县发改委、县财政局）</w:t>
      </w:r>
    </w:p>
    <w:p>
      <w:pPr>
        <w:spacing w:line="59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仿宋_GB2312" w:cs="Times New Roman"/>
          <w:snapToGrid w:val="0"/>
          <w:kern w:val="0"/>
          <w:sz w:val="32"/>
          <w:szCs w:val="32"/>
        </w:rPr>
        <w:t>3.落实上级给予的设备购置与更新改造贷款贴息政策，对符合条件的项目给予2.5个百分点的贴息、期限2年。实施支持制造业、服务业、社会服务领域和中小微企业、个体工商户等更新改造设备优化政策，支持市场化的社会投资特别是民间投资项目建设，引导资金投向科技创新、先进制造业与现代服务业融合发展等重点领域和关键环节。</w:t>
      </w:r>
      <w:r>
        <w:rPr>
          <w:rFonts w:hint="default" w:ascii="Times New Roman" w:hAnsi="Times New Roman" w:eastAsia="楷体_GB2312" w:cs="Times New Roman"/>
          <w:snapToGrid w:val="0"/>
          <w:kern w:val="0"/>
          <w:sz w:val="32"/>
          <w:szCs w:val="32"/>
        </w:rPr>
        <w:t>（责任单位：县发改委、县财政局、人行如东县支行、县地方金融监管局等有关部门）</w:t>
      </w:r>
    </w:p>
    <w:p>
      <w:pPr>
        <w:spacing w:line="59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仿宋_GB2312" w:cs="Times New Roman"/>
          <w:snapToGrid w:val="0"/>
          <w:kern w:val="0"/>
          <w:sz w:val="32"/>
          <w:szCs w:val="32"/>
        </w:rPr>
        <w:t>4.适当提高政策奖补比例，加大对全年新增应税销售2000万元以上的工业新增长点企业支持力度，进一步强化挂钩服务，做好生产要素保障，全力推动新增长点企业达产达效，支撑全县工业经济较好增长。</w:t>
      </w:r>
      <w:r>
        <w:rPr>
          <w:rFonts w:hint="default" w:ascii="Times New Roman" w:hAnsi="Times New Roman" w:eastAsia="楷体_GB2312" w:cs="Times New Roman"/>
          <w:snapToGrid w:val="0"/>
          <w:kern w:val="0"/>
          <w:sz w:val="32"/>
          <w:szCs w:val="32"/>
        </w:rPr>
        <w:t>（责任单位：县发改委、县财政局）</w:t>
      </w:r>
    </w:p>
    <w:p>
      <w:pPr>
        <w:spacing w:line="59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仿宋_GB2312" w:cs="Times New Roman"/>
          <w:snapToGrid w:val="0"/>
          <w:kern w:val="0"/>
          <w:sz w:val="32"/>
          <w:szCs w:val="32"/>
        </w:rPr>
        <w:t>5.充分运用工业企业资源集约利用综合评价结果，继续实行差别化资金扶持政策，不断提高资源要素配置效率，激发各类市场主体发展活力。</w:t>
      </w:r>
      <w:r>
        <w:rPr>
          <w:rFonts w:hint="default" w:ascii="Times New Roman" w:hAnsi="Times New Roman" w:eastAsia="楷体_GB2312" w:cs="Times New Roman"/>
          <w:snapToGrid w:val="0"/>
          <w:kern w:val="0"/>
          <w:sz w:val="32"/>
          <w:szCs w:val="32"/>
        </w:rPr>
        <w:t>（责任单位：县发改委、县财政局）</w:t>
      </w:r>
    </w:p>
    <w:p>
      <w:pPr>
        <w:pStyle w:val="6"/>
        <w:overflowPunct w:val="0"/>
        <w:spacing w:beforeAutospacing="0" w:afterAutospacing="0" w:line="59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二、支持服务业重点行业提质增效</w:t>
      </w:r>
    </w:p>
    <w:p>
      <w:pPr>
        <w:spacing w:line="59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仿宋_GB2312" w:cs="Times New Roman"/>
          <w:snapToGrid w:val="0"/>
          <w:kern w:val="0"/>
          <w:sz w:val="32"/>
          <w:szCs w:val="32"/>
        </w:rPr>
        <w:t>6.对省级现代服务业高质量发展领军企业、省级两业融合发展标杆引领典型、省级服务业综合改革试点等，按照省级奖励资金的10%予以配套奖励。</w:t>
      </w:r>
      <w:r>
        <w:rPr>
          <w:rFonts w:hint="default" w:ascii="Times New Roman" w:hAnsi="Times New Roman" w:eastAsia="楷体_GB2312" w:cs="Times New Roman"/>
          <w:snapToGrid w:val="0"/>
          <w:kern w:val="0"/>
          <w:sz w:val="32"/>
          <w:szCs w:val="32"/>
        </w:rPr>
        <w:t>（责任单位：县发改委、县财政局）</w:t>
      </w:r>
    </w:p>
    <w:p>
      <w:pPr>
        <w:spacing w:line="59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仿宋_GB2312" w:cs="Times New Roman"/>
          <w:snapToGrid w:val="0"/>
          <w:kern w:val="0"/>
          <w:sz w:val="32"/>
          <w:szCs w:val="32"/>
        </w:rPr>
        <w:t>7.支持跨国公司在我县设立区域总部和功能性机构，对我县获江苏省跨国公司地区总部及功能性机构认定的项目，在省财政奖励资金的基础上给予10%的配套资金支持。支持央企在如东设立综合型总部和功能型总部，对经市考核认定的总部企业给予落户奖励20万元。</w:t>
      </w:r>
      <w:r>
        <w:rPr>
          <w:rFonts w:hint="default" w:ascii="Times New Roman" w:hAnsi="Times New Roman" w:eastAsia="楷体_GB2312" w:cs="Times New Roman"/>
          <w:snapToGrid w:val="0"/>
          <w:kern w:val="0"/>
          <w:sz w:val="32"/>
          <w:szCs w:val="32"/>
        </w:rPr>
        <w:t>（责任单位：县商务局、县发改委、县住建局、县国资办）</w:t>
      </w:r>
    </w:p>
    <w:p>
      <w:pPr>
        <w:spacing w:line="59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仿宋_GB2312" w:cs="Times New Roman"/>
          <w:snapToGrid w:val="0"/>
          <w:kern w:val="0"/>
          <w:sz w:val="32"/>
          <w:szCs w:val="32"/>
        </w:rPr>
        <w:t>8.对住宿餐饮、文体娱乐、交通运输、旅游、零售、仓储行业纳税人和增值税小规模纳税人，暂免征收2023年上半年房产税、城镇土地使用税。其他行业纳税人生产经营确有困难的，可申请减免房产税、城镇土地使用税。对增值税小规模纳税人、小型微利企业和个体工商户，按照税额的50%减征资源税、城市维护建设税、房产税、城镇土地使用税、印花税（不含证券交易印花税）、耕地占用税和教育费附加、地方教育附加，执行期限至2024年12月31日。</w:t>
      </w:r>
      <w:r>
        <w:rPr>
          <w:rFonts w:hint="default" w:ascii="Times New Roman" w:hAnsi="Times New Roman" w:eastAsia="楷体_GB2312" w:cs="Times New Roman"/>
          <w:snapToGrid w:val="0"/>
          <w:kern w:val="0"/>
          <w:sz w:val="32"/>
          <w:szCs w:val="32"/>
        </w:rPr>
        <w:t>（责任单位：县税务局、县财政局）</w:t>
      </w:r>
    </w:p>
    <w:p>
      <w:pPr>
        <w:pStyle w:val="6"/>
        <w:overflowPunct w:val="0"/>
        <w:spacing w:beforeAutospacing="0" w:afterAutospacing="0" w:line="59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三、保持建筑业房地产业平稳健康发展</w:t>
      </w:r>
    </w:p>
    <w:p>
      <w:pPr>
        <w:spacing w:line="59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仿宋_GB2312" w:cs="Times New Roman"/>
          <w:snapToGrid w:val="0"/>
          <w:kern w:val="0"/>
          <w:sz w:val="32"/>
          <w:szCs w:val="32"/>
        </w:rPr>
        <w:t>9.用足用好房地产调控政策工具箱，综合运用土地、财税、金融等政策，着力稳地价、稳房价、稳预期。坚持“房住不炒”，认真落实居民个人换购住房个人所得税政策。通过提高公积金信贷额度、降低首套房首付款比例、给予新购房资金奖补等措施，支持人民群众刚性和改善性购房需求。按照“优质优价”的原则进一步优化商品房价格备案制度，鼓励开发商建设高品质住房。</w:t>
      </w:r>
      <w:r>
        <w:rPr>
          <w:rFonts w:hint="default" w:ascii="Times New Roman" w:hAnsi="Times New Roman" w:eastAsia="楷体_GB2312" w:cs="Times New Roman"/>
          <w:snapToGrid w:val="0"/>
          <w:kern w:val="0"/>
          <w:sz w:val="32"/>
          <w:szCs w:val="32"/>
        </w:rPr>
        <w:t>（责任单位：县住建局、人行如东县支行、县自然资源和规划局、县税务局、县财政局、县发改委）</w:t>
      </w:r>
    </w:p>
    <w:p>
      <w:pPr>
        <w:spacing w:line="59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仿宋_GB2312" w:cs="Times New Roman"/>
          <w:snapToGrid w:val="0"/>
          <w:kern w:val="0"/>
          <w:sz w:val="32"/>
          <w:szCs w:val="32"/>
        </w:rPr>
        <w:t>10.引导金融机构加大对房地产业、建筑业企业融资支持。深入实施“保交楼”贷款支持计划，用足用好专项借款。组织商业银行成立银团，对优质房地产企业加大贷款投放力度，对于我县未设立土地和在建工程抵押的项目，重点监管资金额度降低10%。引导银行机构对基本面好、经营暂时遇到困难的优质建筑企业不压贷、抽贷、断贷，不提高存量贷款周转条件，最大程度压缩续贷时间。</w:t>
      </w:r>
      <w:r>
        <w:rPr>
          <w:rFonts w:hint="default" w:ascii="Times New Roman" w:hAnsi="Times New Roman" w:eastAsia="楷体_GB2312" w:cs="Times New Roman"/>
          <w:snapToGrid w:val="0"/>
          <w:kern w:val="0"/>
          <w:sz w:val="32"/>
          <w:szCs w:val="32"/>
        </w:rPr>
        <w:t>（责任单位：人行如东县支行、县地方金融监管局、县住建局）</w:t>
      </w:r>
    </w:p>
    <w:p>
      <w:pPr>
        <w:spacing w:line="59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仿宋_GB2312" w:cs="Times New Roman"/>
          <w:snapToGrid w:val="0"/>
          <w:kern w:val="0"/>
          <w:sz w:val="32"/>
          <w:szCs w:val="32"/>
        </w:rPr>
        <w:t>11.阶段性缓缴工程质量保证金，全县房屋建筑、市政、交通、水利等在建项目在2023年1月1日至6月30日期间应缴纳的各类工程质量保证金，自应缴之日起可缓缴一个季度，建设单位不得以扣留工程款等方式收取工程质量保证金。施工单位在缓缴期满后及时补缴工程质量保证金，可采用金融机构、担保机构保函（保险）的方式替代。</w:t>
      </w:r>
      <w:r>
        <w:rPr>
          <w:rFonts w:hint="default" w:ascii="Times New Roman" w:hAnsi="Times New Roman" w:eastAsia="楷体_GB2312" w:cs="Times New Roman"/>
          <w:snapToGrid w:val="0"/>
          <w:kern w:val="0"/>
          <w:sz w:val="32"/>
          <w:szCs w:val="32"/>
        </w:rPr>
        <w:t>（责任单位：县住建局、县交通运输局、县水务局、县地方金融监管局、人行如东县支行）</w:t>
      </w:r>
    </w:p>
    <w:p>
      <w:pPr>
        <w:pStyle w:val="6"/>
        <w:overflowPunct w:val="0"/>
        <w:spacing w:beforeAutospacing="0" w:afterAutospacing="0" w:line="59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四、全力扩大有效投入</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12.加大省市重大项目建设推进力度，实施项目环评承诺制审批。推行工业用地“标准地+双信地+定制地”供应模式，探索采用不可撤销、无条件见索即付保函等方式缴纳竞买保证金。推行工业用地采用长期租赁、先租后让、租让结合和弹性出让等供应方式，鼓励国有企业盘活利用存量土地。</w:t>
      </w:r>
      <w:r>
        <w:rPr>
          <w:rFonts w:hint="default" w:ascii="Times New Roman" w:hAnsi="Times New Roman" w:eastAsia="楷体_GB2312" w:cs="Times New Roman"/>
          <w:sz w:val="32"/>
          <w:szCs w:val="32"/>
        </w:rPr>
        <w:t>（责任单位：县发改委、县自然资源和规划局、如东生态环境局、县行政审批局等有关部门）</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13.强化省市重大项目建设要素保障，优先保障用地需求。对符合条件的省重大项目排污总量指标不足部分，可按程序申请省、市储备库储备的排污总量指标予以解决。实施海域使用前置审查服务，完善规划承诺制项目用海报批路径。</w:t>
      </w:r>
      <w:r>
        <w:rPr>
          <w:rFonts w:hint="default" w:ascii="Times New Roman" w:hAnsi="Times New Roman" w:eastAsia="楷体_GB2312" w:cs="Times New Roman"/>
          <w:sz w:val="32"/>
          <w:szCs w:val="32"/>
        </w:rPr>
        <w:t>（责任单位：县发改委、县自然资源和规划局、如东生态环境局）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14.支持民间投资更多进入交通、能源、水利、城建、环保以及文化、旅游、教育、卫生、体育、养老、农业农村等重点行业和领域，支持民间投资参与科技创新项目建设，支持民营资本参与重大工程项目建设，对纳入各级重大项目清单的民间投资项目，按规定给予建设用地、资金支持以及行政审批绿色通道等政策便利。创新和完善社会资本参与重大基础设施项目建设的机制体制，对符合条件的项目推广应用“施工总承包+股权投资”模式，积极探索运用同股同权“施工总承包+”模式吸引社会资本参与基础设施项目建设。</w:t>
      </w:r>
      <w:r>
        <w:rPr>
          <w:rFonts w:hint="default" w:ascii="Times New Roman" w:hAnsi="Times New Roman" w:eastAsia="仿宋_GB2312" w:cs="Times New Roman"/>
          <w:color w:val="000000" w:themeColor="text1"/>
          <w:sz w:val="32"/>
          <w:szCs w:val="32"/>
        </w:rPr>
        <w:t>鼓励和吸引民间资本参与园区工业标准厂房及配套基础设施建设，提升园区承载能力。强化资本经营管理，保障民间资本合理回报（利润回报参照同期政府融资成本）。</w:t>
      </w:r>
      <w:r>
        <w:rPr>
          <w:rFonts w:hint="default" w:ascii="Times New Roman" w:hAnsi="Times New Roman" w:eastAsia="楷体_GB2312" w:cs="Times New Roman"/>
          <w:sz w:val="32"/>
          <w:szCs w:val="32"/>
        </w:rPr>
        <w:t>（责任单位：县发改委、县交通运输局、县水务局、县住建局、如东生态环境局、县文广旅局、县教体局、县卫健委、县自然资源和规划局、县财政局、县地方金融监管局、县国资办、县民政局、县农业农村局、县行政审批局等有关部门）</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15.支持符合条件的项目更多申请地方政府专项债券作为资本金。鼓励项目法人和项目投资方积极争取国家结构性金融工具，通过发行权益类、股权类金融工具等，多渠道规范筹措项目资本金。</w:t>
      </w:r>
      <w:r>
        <w:rPr>
          <w:rFonts w:hint="default" w:ascii="Times New Roman" w:hAnsi="Times New Roman" w:eastAsia="楷体_GB2312" w:cs="Times New Roman"/>
          <w:sz w:val="32"/>
          <w:szCs w:val="32"/>
        </w:rPr>
        <w:t>（责任单位：县发改委、县财政局、县交通运输局、县水务局、县住建局、县地方金融监管局、县国资办等有关部门）</w:t>
      </w:r>
    </w:p>
    <w:p>
      <w:pPr>
        <w:pStyle w:val="6"/>
        <w:overflowPunct w:val="0"/>
        <w:spacing w:beforeAutospacing="0" w:afterAutospacing="0" w:line="59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五、着力恢复和提振消费</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16.持续办好县级促消费系列活动，鼓励引导市场主体开展各类促消费活动。组织开展新能源汽车推广应用、绿色智能家电下乡等促消费活动。出台购车补贴政策、发放汽车消费券，引领新能源汽车消费新时尚。延续实施新能源汽车免征车辆购置税政策。</w:t>
      </w:r>
      <w:r>
        <w:rPr>
          <w:rFonts w:hint="default" w:ascii="Times New Roman" w:hAnsi="Times New Roman" w:eastAsia="楷体_GB2312" w:cs="Times New Roman"/>
          <w:sz w:val="32"/>
          <w:szCs w:val="32"/>
        </w:rPr>
        <w:t>（责任单位：县商务局、县财政局、县交通运输局、县文广旅局、县发改委、县税务局）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17.支持现代商贸流通体系建设，鼓励特色街区建设，鼓励电子商务集聚发展，鼓励商品市场（含农贸市场）改造升级，积极培育电商龙头企业，鼓励如东区域公用品牌推广，支持创建国家、省、市老字号企业，出台推进制造业主辅分离、招引贸易型总部相关政策，做大做强批发业。</w:t>
      </w:r>
      <w:r>
        <w:rPr>
          <w:rFonts w:hint="default" w:ascii="Times New Roman" w:hAnsi="Times New Roman" w:eastAsia="楷体_GB2312" w:cs="Times New Roman"/>
          <w:sz w:val="32"/>
          <w:szCs w:val="32"/>
        </w:rPr>
        <w:t>（责任单位：县商务局、县财政局）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18.开展“金融让利促消费”系列活动，组织银行机构通过云闪付、自有客户端等渠道，在交通出行、餐饮旅游、超市百货等场景开展购券、立减等消费促进活动，全年撬动消费力争不低于1亿元。推动数字人民币应用场景建设，扩大数字人民币在水电、燃气、通讯、医疗、教育、旅游等领域的应用覆盖面，在全县重点商圈发放数字人民币消费券，全年力争开设数字人民币钱包8万个，交易金额1.6亿元。</w:t>
      </w:r>
      <w:r>
        <w:rPr>
          <w:rFonts w:hint="default" w:ascii="Times New Roman" w:hAnsi="Times New Roman" w:eastAsia="楷体_GB2312" w:cs="Times New Roman"/>
          <w:sz w:val="32"/>
          <w:szCs w:val="32"/>
        </w:rPr>
        <w:t>（责任单位：人行如东县支行、县地方金融监管局、县商务局、县交通运输局、县文广旅局）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19.安排专项资金，重点支持重大文旅项目、重点文旅园区（基地）和重点文旅企业发展。减半减半征收提供广告和娱乐服务的单位和个人的文化事业建设费。</w:t>
      </w:r>
      <w:r>
        <w:rPr>
          <w:rFonts w:hint="default" w:ascii="Times New Roman" w:hAnsi="Times New Roman" w:eastAsia="楷体_GB2312" w:cs="Times New Roman"/>
          <w:sz w:val="32"/>
          <w:szCs w:val="32"/>
        </w:rPr>
        <w:t>（责任单位：县委宣传部、县文广旅局、县财政局、县税务局）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20.鼓励各级机关、企事业单位及社会团体进行公务活动和群团活动时，委托旅行社等文旅企业代理安排交通、住宿、餐饮、会务等事项，预付款比例不低于50%。继续深化文旅与工会、人社等部门的合作，支持将观看文艺剧院主旋律演出纳入工会活动，将符合条件的旅游度假区、乡村旅游重点村、旅游景区、红色景点等纳入疗休养、工会活动范围，开发形式多样、内容丰富和符合政策的路线和产品。</w:t>
      </w:r>
      <w:r>
        <w:rPr>
          <w:rFonts w:hint="default" w:ascii="Times New Roman" w:hAnsi="Times New Roman" w:eastAsia="楷体_GB2312" w:cs="Times New Roman"/>
          <w:sz w:val="32"/>
          <w:szCs w:val="32"/>
        </w:rPr>
        <w:t>（责任单位：县文广旅局、县人社局、县总工会）</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21.精心办好如东文化旅游招商推介会，持续办好文旅大集、文化旅游节，开展乡村旅游节、非遗购物节、海洋温泉节、5·18国际博物馆日、5·19中国旅游日等文旅消费推广活动。持续推广五彩如东精品旅游线路，打响“五彩如东·如来如愿”品牌。</w:t>
      </w:r>
      <w:r>
        <w:rPr>
          <w:rFonts w:hint="default" w:ascii="Times New Roman" w:hAnsi="Times New Roman" w:eastAsia="楷体_GB2312" w:cs="Times New Roman"/>
          <w:sz w:val="32"/>
          <w:szCs w:val="32"/>
        </w:rPr>
        <w:t>（责任单位：县文广旅局、县商务局）</w:t>
      </w:r>
    </w:p>
    <w:p>
      <w:pPr>
        <w:pStyle w:val="6"/>
        <w:overflowPunct w:val="0"/>
        <w:spacing w:beforeAutospacing="0" w:afterAutospacing="0" w:line="59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六、推动外贸外资稳中提质</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22.推动服务贸易、数字贸易创新发展，加快集聚和培育数字贸易标杆企业。强化数字贸易项目招引，对新落户的数字贸易企业予以奖励。鼓励服务外包示范园区集聚发展。鼓励开展国际资质认证，对认证费用给予最高10万元的补助。</w:t>
      </w:r>
      <w:r>
        <w:rPr>
          <w:rFonts w:hint="default" w:ascii="Times New Roman" w:hAnsi="Times New Roman" w:eastAsia="楷体_GB2312" w:cs="Times New Roman"/>
          <w:sz w:val="32"/>
          <w:szCs w:val="32"/>
        </w:rPr>
        <w:t>（责任单位：县商务局、县财政局）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23.鼓励外资企业通过现汇、利润再投资等方式投资项目，引导更多外资投向先进制造业、现代服务业、高新技术产业、节能环保产业等。</w:t>
      </w:r>
      <w:r>
        <w:rPr>
          <w:rFonts w:hint="default" w:ascii="Times New Roman" w:hAnsi="Times New Roman" w:eastAsia="楷体_GB2312" w:cs="Times New Roman"/>
          <w:sz w:val="32"/>
          <w:szCs w:val="32"/>
        </w:rPr>
        <w:t>（责任单位：县商务局、县财政局）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24.发挥政策性出口信用保险融资增信作用，充分运用“苏贸贷”融资平台，支持平台承办银行开展中小微外贸企业流动资金贷款及出口信保项下融资业务。</w:t>
      </w:r>
      <w:r>
        <w:rPr>
          <w:rFonts w:hint="default" w:ascii="Times New Roman" w:hAnsi="Times New Roman" w:eastAsia="楷体_GB2312" w:cs="Times New Roman"/>
          <w:sz w:val="32"/>
          <w:szCs w:val="32"/>
        </w:rPr>
        <w:t>（责任单位：县商务局）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25.鼓励企业参与全球产业链供应链重构。支持企业通过新设、增资或并购方式到境外开展生产加工、技术研发、资源开发等项目投资。支持符合条件的境外产业集聚区创建国家级、省级境外经贸合作区。支持对外承包工程企业做大做强，向高附加值领域延伸，承揽国家援外项目，参与“ENR全球最大250家国际承包商”评选。</w:t>
      </w:r>
      <w:r>
        <w:rPr>
          <w:rFonts w:hint="default" w:ascii="Times New Roman" w:hAnsi="Times New Roman" w:eastAsia="楷体_GB2312" w:cs="Times New Roman"/>
          <w:sz w:val="32"/>
          <w:szCs w:val="32"/>
        </w:rPr>
        <w:t>（责任单位：县商务局、县住建局、县财政局）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26.推动优质企业贸易外汇便利化政策提质增效，支持银行为市场采购、跨境电商等外贸新业态提供安全高效低成本的资金结算服务。进一步扩大出口信用保险承保规模和覆盖面，推动降低短期险费率和资信费用，支持企业自主投保出口信用保险，加大平台对跨境电商等外贸新业态新模式支持力度。</w:t>
      </w:r>
      <w:r>
        <w:rPr>
          <w:rFonts w:hint="default" w:ascii="Times New Roman" w:hAnsi="Times New Roman" w:eastAsia="楷体_GB2312" w:cs="Times New Roman"/>
          <w:sz w:val="32"/>
          <w:szCs w:val="32"/>
        </w:rPr>
        <w:t>（责任单位：人行如东县支行、县商务局、县财政局）</w:t>
      </w:r>
    </w:p>
    <w:p>
      <w:pPr>
        <w:pStyle w:val="6"/>
        <w:overflowPunct w:val="0"/>
        <w:spacing w:beforeAutospacing="0" w:afterAutospacing="0" w:line="59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七、支持科技人才发展</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27.安排科技专项资金，重点支持创新型企业培育、产业核心技术攻关、重大科技成果转化和科技创新生态建设。积极支持全县符合条件的企业申报国家高新技术企业和省级科技计划专项资金、科技成果转化专项资金等，不断激发创新主体活力。</w:t>
      </w:r>
      <w:r>
        <w:rPr>
          <w:rFonts w:hint="default" w:ascii="Times New Roman" w:hAnsi="Times New Roman" w:eastAsia="楷体_GB2312" w:cs="Times New Roman"/>
          <w:sz w:val="32"/>
          <w:szCs w:val="32"/>
        </w:rPr>
        <w:t>（责任单位：县科技局、县税务局、县财政局）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28.免征符合条件的科技企业孵化器、大学科技园和众创空间孵化服务增值税，对其自用及提供给在孵对象使用的房产、土地免征房产税和城镇土地使用税。符合条件的创投企业和天使投资个人对初创科技型企业投资的，按投资额70%抵扣应纳税所得额。举办科创载体政策宣讲会，对符合条件的科技企业孵化器、大学科技园和众创空间宣传免税政策。</w:t>
      </w:r>
      <w:r>
        <w:rPr>
          <w:rFonts w:hint="default" w:ascii="Times New Roman" w:hAnsi="Times New Roman" w:eastAsia="楷体_GB2312" w:cs="Times New Roman"/>
          <w:sz w:val="32"/>
          <w:szCs w:val="32"/>
        </w:rPr>
        <w:t>（责任单位：县税务局、县财政局、县科技局）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29.加大对行业人才引进、培育和奖补的统筹，对企业全职引进的高水平创新型人才，根据人才层次给予相应的津补贴。鼓励企业为在如见习、实习的高校学生申请人才公寓，多渠道保障青年人才安居。推进产业工人队伍建设改革，培训新时代“如东工匠”。</w:t>
      </w:r>
      <w:r>
        <w:rPr>
          <w:rFonts w:hint="default" w:ascii="Times New Roman" w:hAnsi="Times New Roman" w:eastAsia="楷体_GB2312" w:cs="Times New Roman"/>
          <w:sz w:val="32"/>
          <w:szCs w:val="32"/>
        </w:rPr>
        <w:t>（责任单位：县委组织部、县财政局、县住建局、县人社局、县总工会）</w:t>
      </w:r>
    </w:p>
    <w:p>
      <w:pPr>
        <w:pStyle w:val="6"/>
        <w:overflowPunct w:val="0"/>
        <w:spacing w:beforeAutospacing="0" w:afterAutospacing="0" w:line="59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八、增强金融服务能力</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30.</w:t>
      </w:r>
      <w:r>
        <w:rPr>
          <w:rFonts w:hint="default" w:ascii="Times New Roman" w:hAnsi="Times New Roman" w:cs="Times New Roman"/>
        </w:rPr>
        <w:t xml:space="preserve"> </w:t>
      </w:r>
      <w:r>
        <w:rPr>
          <w:rFonts w:hint="default" w:ascii="Times New Roman" w:hAnsi="Times New Roman" w:eastAsia="仿宋_GB2312" w:cs="Times New Roman"/>
          <w:sz w:val="32"/>
          <w:szCs w:val="32"/>
        </w:rPr>
        <w:t>推动银行机构依托综合金融服务平台投放小微企业普惠类贷款80亿元。鼓励融资担保机构对中小微企业保持较低担保费率，将政府新融资担保机构平均担保费率降至1%以下。推广线上转贷服务平台，企业通过合作银行申请转贷服务的，对1000万元以下、10天以内的转贷业务实行优惠费率，日利率降至0.3‰以内。对流动性紧张、亟需信贷支持的“园区保”“白名单”企业加快审批流程，增加担保助力，保障资金需求。积极开展“小微贷”“苏科贷”等财政金融信贷业务，撬动更多的金融资源投向实体经济。推动符合条件的企业上市挂牌，对上市（新三板挂牌）公司首发及再融资进行奖补。</w:t>
      </w:r>
      <w:r>
        <w:rPr>
          <w:rFonts w:hint="default" w:ascii="Times New Roman" w:hAnsi="Times New Roman" w:eastAsia="楷体_GB2312" w:cs="Times New Roman"/>
          <w:sz w:val="32"/>
          <w:szCs w:val="32"/>
        </w:rPr>
        <w:t>（责任单位：县地方金融监管局、县财政局、县科技局、人行如东县支行、县发改委）</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31.全年投放央行政策资金不少于16亿元。加快政策性开发性金融工具资金投放进度，支持银行机构以更优惠的利率积极投放中长期贷款，推动银行机构为重大项目建设提供配套融资支持。支持符合条件的法人银行机构发行永续债、二级资本债以及小微、双创等专项金融债，缓解贷款资本约束，提升信贷投放能力。全年实现贷款增量超200亿元。</w:t>
      </w:r>
      <w:r>
        <w:rPr>
          <w:rFonts w:hint="default" w:ascii="Times New Roman" w:hAnsi="Times New Roman" w:eastAsia="楷体_GB2312" w:cs="Times New Roman"/>
          <w:sz w:val="32"/>
          <w:szCs w:val="32"/>
        </w:rPr>
        <w:t>（责任单位：人行如东县支行、县地方金融监管局）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32.落实上级激励资金，对符合条件的地方法人银行按普惠小微贷款余额增量的2%给予激励。通过应收账款融资服务平台办理供应链融资不少于100亿元。强化企业信用正向激励作用，实现企业市场监管等信用领域评定结果在“通信贷”的联动应用。</w:t>
      </w:r>
      <w:r>
        <w:rPr>
          <w:rFonts w:hint="default" w:ascii="Times New Roman" w:hAnsi="Times New Roman" w:eastAsia="楷体_GB2312" w:cs="Times New Roman"/>
          <w:sz w:val="32"/>
          <w:szCs w:val="32"/>
        </w:rPr>
        <w:t>（责任单位：人行如东县支行、县地方金融监管局、县发改委、县市场监管局）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33.引导银行机构压降负债成本，支持银行机构将再贷款利率下调和LPR下调传导至贷款利率。鼓励银行机构为个体工商户和小微、涉农、绿色、专精特新企业及科技型中小企业等量身定制特色减让措施，全年推动银行机构支付让利不少于1000万元。</w:t>
      </w:r>
      <w:r>
        <w:rPr>
          <w:rFonts w:hint="default" w:ascii="Times New Roman" w:hAnsi="Times New Roman" w:eastAsia="楷体_GB2312" w:cs="Times New Roman"/>
          <w:sz w:val="32"/>
          <w:szCs w:val="32"/>
        </w:rPr>
        <w:t>（责任单位：人行如东县支行、县发改委、县地方金融监管局、县科技局）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34.支持银行业金融机构、金融资产管理公司通过以物抵债方式，处置不良债权，促进企业轻装上阵，对符合条件的，按照有关规定给予税收优惠。</w:t>
      </w:r>
      <w:r>
        <w:rPr>
          <w:rFonts w:hint="default" w:ascii="Times New Roman" w:hAnsi="Times New Roman" w:eastAsia="楷体_GB2312" w:cs="Times New Roman"/>
          <w:sz w:val="32"/>
          <w:szCs w:val="32"/>
        </w:rPr>
        <w:t>（责任单位：县税务局、县财政局）</w:t>
      </w:r>
    </w:p>
    <w:p>
      <w:pPr>
        <w:pStyle w:val="6"/>
        <w:overflowPunct w:val="0"/>
        <w:spacing w:beforeAutospacing="0" w:afterAutospacing="0" w:line="59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九、助力企业降本增效</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35.自2023年1月1日至12月31日，对月销售额10万元以下（含本数）的增值税小规模纳税人，免征增值税；增值税小规模纳税人适用3%征收率的应税销售收入，减按1%征收率征收增值税；适用3%预征率的预缴增值税项目，减按1%预征率预缴增值税；允许生产性服务业纳税人按照当期可抵扣进项税额加计5%抵减应纳税额；允许生活性服务业纳税人按照当期可抵扣进项税额加计10%抵减应纳税额。</w:t>
      </w:r>
      <w:r>
        <w:rPr>
          <w:rFonts w:hint="default" w:ascii="Times New Roman" w:hAnsi="Times New Roman" w:eastAsia="楷体_GB2312" w:cs="Times New Roman"/>
          <w:sz w:val="32"/>
          <w:szCs w:val="32"/>
        </w:rPr>
        <w:t>（责任单位：县税务局、县财政局）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36.综合运用预留份额、价格扣除等举措支持中小企业参与政府采购。采购限额标准以上的货物、服务和工程采购项目，适宜由中小企业提供的，采购人应当预留份额专门面向中小企业采购。对未预留份额专门面向中小企业采购的，以及预留份额项目中的非预留部分采购包，采购人应当对符合规定的小微企业报价给予一定比例的价格扣除。</w:t>
      </w:r>
      <w:r>
        <w:rPr>
          <w:rFonts w:hint="default" w:ascii="Times New Roman" w:hAnsi="Times New Roman" w:eastAsia="楷体_GB2312" w:cs="Times New Roman"/>
          <w:sz w:val="32"/>
          <w:szCs w:val="32"/>
        </w:rPr>
        <w:t>（责任单位：县财政局、县发改委、县住建局、县水务局、县交通运输局）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37.继续发挥失业保险稳岗作用，延长阶段性降低企业失业保险费率政策至2023年4月30日。根据国家统一部署，按规定继续实施社保降费、稳岗返还等政策。对灵活就业人员参加职工基本医疗保险的，缴费比例在职工基本医疗保险用人单位缴费率（不含生育保险缴费率）和个人缴费率之和基础上，降低1个百分点。根据省医疗保障相关政策，按照收支平衡的原则，经批准后可阶段性适当降低职工医保单位缴费费率。</w:t>
      </w:r>
      <w:r>
        <w:rPr>
          <w:rFonts w:hint="default" w:ascii="Times New Roman" w:hAnsi="Times New Roman" w:eastAsia="楷体_GB2312" w:cs="Times New Roman"/>
          <w:sz w:val="32"/>
          <w:szCs w:val="32"/>
        </w:rPr>
        <w:t>（责任单位：县人社局、县医保局、县财政局、县税务局）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38.深入开展“创响江苏”春风行动，广泛开展劳务协作对接活动，点对点组织外来务工人员来通就业。多渠道发布岗位信息，高频开展线上线下招聘活动，加快建设“家门口的就业服务站”，发挥零工市场作用，提供便捷高效的就业服务。</w:t>
      </w:r>
      <w:r>
        <w:rPr>
          <w:rFonts w:hint="default" w:ascii="Times New Roman" w:hAnsi="Times New Roman" w:eastAsia="楷体_GB2312" w:cs="Times New Roman"/>
          <w:sz w:val="32"/>
          <w:szCs w:val="32"/>
        </w:rPr>
        <w:t>（责任单位：县人社局、县财政局）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39.强化水电气生产要素保障，对暂时缴费确有困难的小微企业和个体工商户经申请审核通过后，欠费不停水、不停电、不停气，减免在此期间产生的欠费违约金。在水电气等公用事业单位建立涉企收费督导制度，加强事前事中监管，防范违规收费行为。在重点企业设立涉企收费监测哨点，深入挖掘各类违法违规问题，快速、妥善处置各类涉企收费投诉举报，维护市场主体合法权益。开展涉企收费专项整治行动，严厉打击各类价格违法行为，进一步规范全县收费秩序。为10千伏及以下中小微企业全面建设外部电力接入工程，无需用户投资。全县用户报装容量200千瓦及以下可采用低压接入，对连续生产有电力增容需求的企业，提供用电绿色通道服务。</w:t>
      </w:r>
      <w:r>
        <w:rPr>
          <w:rFonts w:hint="default" w:ascii="Times New Roman" w:hAnsi="Times New Roman" w:eastAsia="楷体_GB2312" w:cs="Times New Roman"/>
          <w:sz w:val="32"/>
          <w:szCs w:val="32"/>
        </w:rPr>
        <w:t>（责任单位：县市场监管局、县发改委、如东供电公司）</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40.县级市场监督管理部门直属检验检测机构对县内个体工商户委托的产品质量检验、计量检测费用减半收取。按现行标准的80%收取水土保持补偿费，对水资源费省级部分减按80%收取，将防空地下室易地建设费标准下调20%。</w:t>
      </w:r>
      <w:r>
        <w:rPr>
          <w:rFonts w:hint="default" w:ascii="Times New Roman" w:hAnsi="Times New Roman" w:eastAsia="楷体_GB2312" w:cs="Times New Roman"/>
          <w:sz w:val="32"/>
          <w:szCs w:val="32"/>
        </w:rPr>
        <w:t>（责任单位：县市场监管局、县财政局、县发改委、县水利局、县住建局）</w:t>
      </w:r>
    </w:p>
    <w:p>
      <w:pPr>
        <w:pStyle w:val="6"/>
        <w:overflowPunct w:val="0"/>
        <w:spacing w:beforeAutospacing="0" w:afterAutospacing="0" w:line="59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十、营造经济运行良好环境</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41.落实国家和省关于“乙类乙管”后新型冠状病毒感染患者医疗保障工作要求，提升医疗保障服务信息化水平，助力患者在线诊疗，提供医保移动支付结算服务。着力增强基层医疗机构救治能力，提升基本医疗卫生服务规范化水平。</w:t>
      </w:r>
      <w:r>
        <w:rPr>
          <w:rFonts w:hint="default" w:ascii="Times New Roman" w:hAnsi="Times New Roman" w:eastAsia="楷体_GB2312" w:cs="Times New Roman"/>
          <w:sz w:val="32"/>
          <w:szCs w:val="32"/>
        </w:rPr>
        <w:t>（责任单位：县卫健委、县医保局）</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42.制定出台营商环境优化提升举措，营造更优的政策环境、市场环境、政务环境、法治环境、人文环境和开放环境。深入开展服务市场主体大走访活动，宣传解读各级惠企政策。畅通企业诉求受理渠道，完善问题闭环管理机制，协调解决企业生产存在的困难和问题。开通企业服务热线，常态化受理各类市场主体意见建议。</w:t>
      </w:r>
      <w:r>
        <w:rPr>
          <w:rFonts w:hint="default" w:ascii="Times New Roman" w:hAnsi="Times New Roman" w:eastAsia="楷体_GB2312" w:cs="Times New Roman"/>
          <w:sz w:val="32"/>
          <w:szCs w:val="32"/>
        </w:rPr>
        <w:t>（责任单位：县发改委、县商务局、县工商联）</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43.完善市场监管轻微违法首违不罚、免予处罚、减轻处罚、不予行政强制措施“四张清单”，制定广告、商标、计量等监管领域轻微违法从轻处罚“第五张清单”，持续推行柔性执法、精准执法，给予市场主体容错纠错空间。</w:t>
      </w:r>
      <w:r>
        <w:rPr>
          <w:rFonts w:hint="default" w:ascii="Times New Roman" w:hAnsi="Times New Roman" w:eastAsia="楷体_GB2312" w:cs="Times New Roman"/>
          <w:sz w:val="32"/>
          <w:szCs w:val="32"/>
        </w:rPr>
        <w:t>（责任单位：县市场监管局、县司法局等有关部门）</w:t>
      </w:r>
    </w:p>
    <w:p>
      <w:pPr>
        <w:pStyle w:val="6"/>
        <w:overflowPunct w:val="0"/>
        <w:spacing w:beforeAutospacing="0" w:afterAutospacing="0" w:line="59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44.压紧压实安全生产地方党政领导责任、部门监管责任和企业主体责任，加强重点行业领域风险评估和监测预警，实施“制度化管理、实时化监控、自动化阻隔、现代化救援”，牢牢守住“不出险”的底线，提升本质安全水平。</w:t>
      </w:r>
      <w:r>
        <w:rPr>
          <w:rFonts w:hint="default" w:ascii="Times New Roman" w:hAnsi="Times New Roman" w:eastAsia="楷体_GB2312" w:cs="Times New Roman"/>
          <w:sz w:val="32"/>
          <w:szCs w:val="32"/>
        </w:rPr>
        <w:t>（责任单位：县应急管理局）</w:t>
      </w:r>
    </w:p>
    <w:p>
      <w:pPr>
        <w:pStyle w:val="6"/>
        <w:overflowPunct w:val="0"/>
        <w:spacing w:beforeAutospacing="0" w:afterAutospacing="0" w:line="590" w:lineRule="exact"/>
        <w:ind w:firstLine="640" w:firstLineChars="200"/>
        <w:jc w:val="both"/>
        <w:rPr>
          <w:rFonts w:hint="default" w:ascii="Times New Roman" w:hAnsi="Times New Roman" w:cs="Times New Roman"/>
          <w:sz w:val="32"/>
        </w:rPr>
        <w:sectPr>
          <w:footerReference r:id="rId3" w:type="default"/>
          <w:footerReference r:id="rId4" w:type="even"/>
          <w:pgSz w:w="11906" w:h="16838"/>
          <w:pgMar w:top="2098" w:right="1531" w:bottom="1758" w:left="1531" w:header="851" w:footer="1134" w:gutter="0"/>
          <w:cols w:space="0" w:num="1"/>
          <w:docGrid w:type="lines" w:linePitch="312" w:charSpace="0"/>
        </w:sectPr>
      </w:pPr>
      <w:r>
        <w:rPr>
          <w:rFonts w:hint="default" w:ascii="Times New Roman" w:hAnsi="Times New Roman" w:eastAsia="仿宋_GB2312" w:cs="Times New Roman"/>
          <w:sz w:val="32"/>
          <w:szCs w:val="32"/>
        </w:rPr>
        <w:t>以上政策措施自公布之日起实施。县委县政府围绕全县经济高质量发展配套出台《县政府办公室关于印发促进如东县建筑业高质量发展实施办法（暂行）的通知》（东政办发〔2022〕60号）、《中共如东县委如东县人民政府印发关于加快实施新时期人才强县战略的若干政策的通知》（东委发〔2022〕8号）、《关于加快推进企业上市挂牌的若干政策意见》（东政发〔2023〕6号）、《中共如东县委如东县人民政府印发工业经济高质量发展等三个政策意见的通知》（东委</w:t>
      </w:r>
      <w:bookmarkStart w:id="0" w:name="_GoBack"/>
      <w:bookmarkEnd w:id="0"/>
      <w:r>
        <w:rPr>
          <w:rFonts w:hint="default" w:ascii="Times New Roman" w:hAnsi="Times New Roman" w:eastAsia="仿宋_GB2312" w:cs="Times New Roman"/>
          <w:sz w:val="32"/>
          <w:szCs w:val="32"/>
        </w:rPr>
        <w:t>〔2023〕19号），各镇（区、街道）和各主体功能区对以上政策措施迅速组织落实，各部门抓紧制定具体实施细则，涉及资金按现行财政体制执行。县级层面建立联席会议机制，健全政策实施评估机制，推动解决在政策执行中存在问题，县委办公室县政府办公室将适时就政策措施落实情况开展督促检查。</w:t>
      </w: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pStyle w:val="6"/>
        <w:overflowPunct w:val="0"/>
        <w:spacing w:beforeAutospacing="0" w:afterAutospacing="0" w:line="590" w:lineRule="exact"/>
        <w:ind w:firstLine="640" w:firstLineChars="200"/>
        <w:jc w:val="both"/>
        <w:rPr>
          <w:rFonts w:hint="default" w:ascii="Times New Roman" w:hAnsi="Times New Roman" w:cs="Times New Roman"/>
          <w:sz w:val="32"/>
        </w:rPr>
      </w:pPr>
    </w:p>
    <w:p>
      <w:pPr>
        <w:autoSpaceDE w:val="0"/>
        <w:autoSpaceDN w:val="0"/>
        <w:adjustRightInd w:val="0"/>
        <w:snapToGrid w:val="0"/>
        <w:spacing w:line="320" w:lineRule="exact"/>
        <w:ind w:right="-57"/>
        <w:rPr>
          <w:rFonts w:hint="default" w:ascii="Times New Roman" w:hAnsi="Times New Roman" w:eastAsia="方正仿宋_GBK" w:cs="Times New Roman"/>
          <w:b/>
          <w:szCs w:val="21"/>
        </w:rPr>
      </w:pPr>
    </w:p>
    <w:p>
      <w:pPr>
        <w:autoSpaceDE w:val="0"/>
        <w:autoSpaceDN w:val="0"/>
        <w:adjustRightInd w:val="0"/>
        <w:snapToGrid w:val="0"/>
        <w:spacing w:line="320" w:lineRule="exact"/>
        <w:ind w:right="-57"/>
        <w:rPr>
          <w:rFonts w:hint="default" w:ascii="Times New Roman" w:hAnsi="Times New Roman" w:eastAsia="方正仿宋_GBK" w:cs="Times New Roman"/>
          <w:b/>
          <w:szCs w:val="21"/>
        </w:rPr>
      </w:pPr>
    </w:p>
    <w:p>
      <w:pPr>
        <w:autoSpaceDE w:val="0"/>
        <w:autoSpaceDN w:val="0"/>
        <w:adjustRightInd w:val="0"/>
        <w:snapToGrid w:val="0"/>
        <w:spacing w:line="320" w:lineRule="exact"/>
        <w:ind w:right="-57"/>
        <w:rPr>
          <w:rFonts w:hint="default" w:ascii="Times New Roman" w:hAnsi="Times New Roman" w:eastAsia="方正仿宋_GBK" w:cs="Times New Roman"/>
          <w:b/>
          <w:szCs w:val="21"/>
        </w:rPr>
      </w:pPr>
    </w:p>
    <w:p>
      <w:pPr>
        <w:autoSpaceDE w:val="0"/>
        <w:autoSpaceDN w:val="0"/>
        <w:adjustRightInd w:val="0"/>
        <w:snapToGrid w:val="0"/>
        <w:spacing w:line="320" w:lineRule="exact"/>
        <w:ind w:right="-57"/>
        <w:rPr>
          <w:rFonts w:hint="default" w:ascii="Times New Roman" w:hAnsi="Times New Roman" w:eastAsia="方正仿宋_GBK" w:cs="Times New Roman"/>
          <w:b/>
          <w:szCs w:val="21"/>
        </w:rPr>
      </w:pPr>
    </w:p>
    <w:p>
      <w:pPr>
        <w:autoSpaceDE w:val="0"/>
        <w:autoSpaceDN w:val="0"/>
        <w:adjustRightInd w:val="0"/>
        <w:snapToGrid w:val="0"/>
        <w:spacing w:line="320" w:lineRule="exact"/>
        <w:ind w:right="-57"/>
        <w:rPr>
          <w:rFonts w:hint="default" w:ascii="Times New Roman" w:hAnsi="Times New Roman" w:eastAsia="方正仿宋_GBK" w:cs="Times New Roman"/>
          <w:b/>
          <w:szCs w:val="21"/>
        </w:rPr>
      </w:pPr>
    </w:p>
    <w:p>
      <w:pPr>
        <w:autoSpaceDE w:val="0"/>
        <w:autoSpaceDN w:val="0"/>
        <w:adjustRightInd w:val="0"/>
        <w:snapToGrid w:val="0"/>
        <w:spacing w:line="320" w:lineRule="exact"/>
        <w:ind w:right="-57"/>
        <w:rPr>
          <w:rFonts w:hint="default" w:ascii="Times New Roman" w:hAnsi="Times New Roman" w:eastAsia="方正仿宋_GBK" w:cs="Times New Roman"/>
          <w:b/>
          <w:szCs w:val="21"/>
        </w:rPr>
      </w:pPr>
    </w:p>
    <w:p>
      <w:pPr>
        <w:autoSpaceDE w:val="0"/>
        <w:autoSpaceDN w:val="0"/>
        <w:adjustRightInd w:val="0"/>
        <w:snapToGrid w:val="0"/>
        <w:spacing w:line="320" w:lineRule="exact"/>
        <w:ind w:left="-57" w:right="-57"/>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object>
          <v:shape id="_x0000_i1025" o:spt="75" type="#_x0000_t75" style="height:2.4pt;width:442.8pt;" o:ole="t" fillcolor="#6D6D6D" filled="f" o:preferrelative="t" stroked="f" coordsize="21600,21600">
            <v:path/>
            <v:fill on="f" focussize="0,0"/>
            <v:stroke on="f" joinstyle="miter"/>
            <v:imagedata r:id="rId9" o:title=""/>
            <o:lock v:ext="edit" aspectratio="f"/>
            <w10:wrap type="none"/>
            <w10:anchorlock/>
          </v:shape>
          <o:OLEObject Type="Embed" ProgID="MSDraw" ShapeID="_x0000_i1025" DrawAspect="Content" ObjectID="_1468075725" r:id="rId8">
            <o:LockedField>false</o:LockedField>
          </o:OLEObject>
        </w:object>
      </w:r>
    </w:p>
    <w:p>
      <w:pPr>
        <w:autoSpaceDE w:val="0"/>
        <w:autoSpaceDN w:val="0"/>
        <w:adjustRightInd w:val="0"/>
        <w:snapToGrid w:val="0"/>
        <w:spacing w:line="320" w:lineRule="exact"/>
        <w:ind w:left="1151" w:right="312" w:hanging="8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抄送：县人大常委会办公室，县政协办公室。</w:t>
      </w:r>
    </w:p>
    <w:p>
      <w:pPr>
        <w:autoSpaceDE w:val="0"/>
        <w:autoSpaceDN w:val="0"/>
        <w:adjustRightInd w:val="0"/>
        <w:snapToGrid w:val="0"/>
        <w:spacing w:line="320" w:lineRule="exact"/>
        <w:ind w:left="-57" w:right="-57"/>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object>
          <v:shape id="_x0000_i1026" o:spt="75" type="#_x0000_t75" style="height:1.2pt;width:442.2pt;" o:ole="t" fillcolor="#6D6D6D" filled="f" o:preferrelative="f" stroked="f" coordsize="21600,21600">
            <v:path/>
            <v:fill on="f" focussize="0,0"/>
            <v:stroke on="f" joinstyle="miter"/>
            <v:imagedata r:id="rId11" o:title=""/>
            <o:lock v:ext="edit" aspectratio="f"/>
            <w10:wrap type="none"/>
            <w10:anchorlock/>
          </v:shape>
          <o:OLEObject Type="Embed" ProgID="MSDraw" ShapeID="_x0000_i1026" DrawAspect="Content" ObjectID="_1468075726" r:id="rId10">
            <o:LockedField>false</o:LockedField>
          </o:OLEObject>
        </w:object>
      </w:r>
    </w:p>
    <w:p>
      <w:pPr>
        <w:tabs>
          <w:tab w:val="right" w:pos="8533"/>
        </w:tabs>
        <w:autoSpaceDE w:val="0"/>
        <w:autoSpaceDN w:val="0"/>
        <w:adjustRightInd w:val="0"/>
        <w:spacing w:line="320" w:lineRule="exact"/>
        <w:ind w:left="312"/>
        <w:jc w:val="lef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中共如东县委办公室</w:t>
      </w:r>
      <w:r>
        <w:rPr>
          <w:rFonts w:hint="default" w:ascii="Times New Roman" w:hAnsi="Times New Roman" w:eastAsia="仿宋_GB2312" w:cs="Times New Roman"/>
          <w:snapToGrid w:val="0"/>
          <w:sz w:val="28"/>
          <w:szCs w:val="28"/>
        </w:rPr>
        <w:tab/>
      </w:r>
      <w:r>
        <w:rPr>
          <w:rFonts w:hint="default" w:ascii="Times New Roman" w:hAnsi="Times New Roman" w:eastAsia="仿宋_GB2312" w:cs="Times New Roman"/>
          <w:snapToGrid w:val="0"/>
          <w:sz w:val="28"/>
          <w:szCs w:val="28"/>
        </w:rPr>
        <w:t xml:space="preserve"> 2023年4月23日印发</w:t>
      </w:r>
    </w:p>
    <w:p>
      <w:pPr>
        <w:pStyle w:val="6"/>
        <w:overflowPunct w:val="0"/>
        <w:spacing w:beforeAutospacing="0" w:afterAutospacing="0" w:line="320" w:lineRule="exact"/>
        <w:ind w:firstLine="0"/>
        <w:jc w:val="both"/>
        <w:rPr>
          <w:rFonts w:hint="default" w:ascii="Times New Roman" w:hAnsi="Times New Roman" w:cs="Times New Roman"/>
          <w:sz w:val="32"/>
        </w:rPr>
      </w:pPr>
      <w:r>
        <w:rPr>
          <w:rFonts w:hint="default" w:ascii="Times New Roman" w:hAnsi="Times New Roman" w:cs="Times New Roman"/>
          <w:szCs w:val="21"/>
        </w:rPr>
        <w:object>
          <v:shape id="_x0000_i1027" o:spt="75" type="#_x0000_t75" style="height:2.4pt;width:442.8pt;" o:ole="t" fillcolor="#6D6D6D" filled="f" o:preferrelative="t" stroked="f" coordsize="21600,21600">
            <v:path/>
            <v:fill on="f" focussize="0,0"/>
            <v:stroke on="f" joinstyle="miter"/>
            <v:imagedata r:id="rId9" o:title=""/>
            <o:lock v:ext="edit" aspectratio="f"/>
            <w10:wrap type="none"/>
            <w10:anchorlock/>
          </v:shape>
          <o:OLEObject Type="Embed" ProgID="MSDraw" ShapeID="_x0000_i1027" DrawAspect="Content" ObjectID="_1468075727" r:id="rId12">
            <o:LockedField>false</o:LockedField>
          </o:OLEObject>
        </w:object>
      </w:r>
    </w:p>
    <w:sectPr>
      <w:footerReference r:id="rId5" w:type="default"/>
      <w:footerReference r:id="rId6" w:type="even"/>
      <w:pgSz w:w="11906" w:h="16838"/>
      <w:pgMar w:top="2098" w:right="1531" w:bottom="1758" w:left="1531"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B5F935-84DB-4B87-A3E0-C7465D4659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2F02872-267F-4638-AF43-C589E6CB4835}"/>
  </w:font>
  <w:font w:name="方正仿宋_GBK">
    <w:panose1 w:val="03000509000000000000"/>
    <w:charset w:val="86"/>
    <w:family w:val="script"/>
    <w:pitch w:val="default"/>
    <w:sig w:usb0="00000001" w:usb1="080E0000" w:usb2="00000000" w:usb3="00000000" w:csb0="00040000" w:csb1="00000000"/>
    <w:embedRegular r:id="rId3" w:fontKey="{D12B2BF4-2A8C-486A-A57A-C3FCEB9468C2}"/>
  </w:font>
  <w:font w:name="PMingLiU">
    <w:panose1 w:val="02020500000000000000"/>
    <w:charset w:val="88"/>
    <w:family w:val="roma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embedRegular r:id="rId4" w:fontKey="{FBBE3410-ABB1-464A-BCEF-6C1197B723E0}"/>
  </w:font>
  <w:font w:name="方正大标宋简体">
    <w:panose1 w:val="03000509000000000000"/>
    <w:charset w:val="86"/>
    <w:family w:val="script"/>
    <w:pitch w:val="default"/>
    <w:sig w:usb0="00000001" w:usb1="080E0000" w:usb2="00000000" w:usb3="00000000" w:csb0="00040001" w:csb1="00000000"/>
    <w:embedRegular r:id="rId5" w:fontKey="{8368B828-781C-4662-8849-6F5E961F2009}"/>
  </w:font>
  <w:font w:name="仿宋_GB2312">
    <w:panose1 w:val="02010609030101010101"/>
    <w:charset w:val="86"/>
    <w:family w:val="modern"/>
    <w:pitch w:val="default"/>
    <w:sig w:usb0="00000001" w:usb1="080E0000" w:usb2="00000000" w:usb3="00000000" w:csb0="00040000" w:csb1="00000000"/>
    <w:embedRegular r:id="rId6" w:fontKey="{0358F3B3-DDD5-4EE5-BBD1-353A9EE48BFC}"/>
  </w:font>
  <w:font w:name="方正小标宋简体">
    <w:panose1 w:val="03000509000000000000"/>
    <w:charset w:val="86"/>
    <w:family w:val="script"/>
    <w:pitch w:val="default"/>
    <w:sig w:usb0="00000001" w:usb1="080E0000" w:usb2="00000000" w:usb3="00000000" w:csb0="00040000" w:csb1="00000000"/>
    <w:embedRegular r:id="rId7" w:fontKey="{93479FED-B38D-407E-A1DD-26AEE8DFD1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jc w:val="both"/>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mMTdkMjk1ZmVkYjFhMDU0ZjRjNzA4OTIwYzljMWEifQ=="/>
  </w:docVars>
  <w:rsids>
    <w:rsidRoot w:val="009811BD"/>
    <w:rsid w:val="00021C47"/>
    <w:rsid w:val="0002224A"/>
    <w:rsid w:val="00046010"/>
    <w:rsid w:val="0006011E"/>
    <w:rsid w:val="00067BA0"/>
    <w:rsid w:val="00090528"/>
    <w:rsid w:val="0009458F"/>
    <w:rsid w:val="0009587A"/>
    <w:rsid w:val="000C2BA3"/>
    <w:rsid w:val="000D1B12"/>
    <w:rsid w:val="000F0D4E"/>
    <w:rsid w:val="001573D2"/>
    <w:rsid w:val="001628F2"/>
    <w:rsid w:val="00172DED"/>
    <w:rsid w:val="001C536B"/>
    <w:rsid w:val="001D2B31"/>
    <w:rsid w:val="00253865"/>
    <w:rsid w:val="00295445"/>
    <w:rsid w:val="002B7A47"/>
    <w:rsid w:val="002C0D60"/>
    <w:rsid w:val="0035433C"/>
    <w:rsid w:val="003B36CB"/>
    <w:rsid w:val="003C4A19"/>
    <w:rsid w:val="003F2D33"/>
    <w:rsid w:val="00417378"/>
    <w:rsid w:val="00432BE2"/>
    <w:rsid w:val="00433E2E"/>
    <w:rsid w:val="00435F43"/>
    <w:rsid w:val="00440971"/>
    <w:rsid w:val="004548C1"/>
    <w:rsid w:val="00457ADB"/>
    <w:rsid w:val="0047166C"/>
    <w:rsid w:val="00474DB4"/>
    <w:rsid w:val="004A4308"/>
    <w:rsid w:val="004C40B7"/>
    <w:rsid w:val="004D23EC"/>
    <w:rsid w:val="00513143"/>
    <w:rsid w:val="005160B7"/>
    <w:rsid w:val="005849AE"/>
    <w:rsid w:val="005C3C32"/>
    <w:rsid w:val="005D0589"/>
    <w:rsid w:val="005E06E5"/>
    <w:rsid w:val="005E7CA6"/>
    <w:rsid w:val="0063756E"/>
    <w:rsid w:val="00640B15"/>
    <w:rsid w:val="006523DD"/>
    <w:rsid w:val="00652630"/>
    <w:rsid w:val="006573C4"/>
    <w:rsid w:val="00695BAE"/>
    <w:rsid w:val="006A24DA"/>
    <w:rsid w:val="006A3351"/>
    <w:rsid w:val="0070588F"/>
    <w:rsid w:val="0071104E"/>
    <w:rsid w:val="00725995"/>
    <w:rsid w:val="0072710A"/>
    <w:rsid w:val="0078769F"/>
    <w:rsid w:val="007A70D9"/>
    <w:rsid w:val="007B6E65"/>
    <w:rsid w:val="00801E47"/>
    <w:rsid w:val="00811873"/>
    <w:rsid w:val="00824593"/>
    <w:rsid w:val="0085742A"/>
    <w:rsid w:val="00890B7D"/>
    <w:rsid w:val="008A24F9"/>
    <w:rsid w:val="00926BEA"/>
    <w:rsid w:val="00944DB4"/>
    <w:rsid w:val="00960927"/>
    <w:rsid w:val="00973044"/>
    <w:rsid w:val="009811BD"/>
    <w:rsid w:val="00981E1F"/>
    <w:rsid w:val="009C49F5"/>
    <w:rsid w:val="009F7C18"/>
    <w:rsid w:val="00A05D68"/>
    <w:rsid w:val="00A123BF"/>
    <w:rsid w:val="00A26404"/>
    <w:rsid w:val="00A75A15"/>
    <w:rsid w:val="00A82C4B"/>
    <w:rsid w:val="00AA1783"/>
    <w:rsid w:val="00AA1EA5"/>
    <w:rsid w:val="00AB3275"/>
    <w:rsid w:val="00AC0549"/>
    <w:rsid w:val="00AC6204"/>
    <w:rsid w:val="00AE4B01"/>
    <w:rsid w:val="00AE50D0"/>
    <w:rsid w:val="00B00BEE"/>
    <w:rsid w:val="00B23BBC"/>
    <w:rsid w:val="00B358AA"/>
    <w:rsid w:val="00B55AD8"/>
    <w:rsid w:val="00B9567C"/>
    <w:rsid w:val="00C275E0"/>
    <w:rsid w:val="00C931EE"/>
    <w:rsid w:val="00D01401"/>
    <w:rsid w:val="00D158F2"/>
    <w:rsid w:val="00D23CC2"/>
    <w:rsid w:val="00D31988"/>
    <w:rsid w:val="00D5285E"/>
    <w:rsid w:val="00D54F17"/>
    <w:rsid w:val="00D971CB"/>
    <w:rsid w:val="00DA274D"/>
    <w:rsid w:val="00DB3784"/>
    <w:rsid w:val="00E11613"/>
    <w:rsid w:val="00E14483"/>
    <w:rsid w:val="00E746C7"/>
    <w:rsid w:val="00E85605"/>
    <w:rsid w:val="00EA1F8C"/>
    <w:rsid w:val="00ED040D"/>
    <w:rsid w:val="00ED0DE1"/>
    <w:rsid w:val="00EE6AF9"/>
    <w:rsid w:val="00F04E3B"/>
    <w:rsid w:val="00F532DC"/>
    <w:rsid w:val="00FA704A"/>
    <w:rsid w:val="00FB3D40"/>
    <w:rsid w:val="00FE1EE0"/>
    <w:rsid w:val="00FF26F8"/>
    <w:rsid w:val="012B785D"/>
    <w:rsid w:val="01400068"/>
    <w:rsid w:val="02AE0D6B"/>
    <w:rsid w:val="047105BB"/>
    <w:rsid w:val="059822F8"/>
    <w:rsid w:val="06606BFB"/>
    <w:rsid w:val="06BA1708"/>
    <w:rsid w:val="094D595E"/>
    <w:rsid w:val="0C552200"/>
    <w:rsid w:val="12DB4B8A"/>
    <w:rsid w:val="12FF6B30"/>
    <w:rsid w:val="14755EB6"/>
    <w:rsid w:val="1671531B"/>
    <w:rsid w:val="16E36E94"/>
    <w:rsid w:val="171E57F8"/>
    <w:rsid w:val="18027400"/>
    <w:rsid w:val="1B155A5E"/>
    <w:rsid w:val="1DB11C4C"/>
    <w:rsid w:val="1DDC25DF"/>
    <w:rsid w:val="1EDD5ED0"/>
    <w:rsid w:val="1FC83E36"/>
    <w:rsid w:val="20570E6B"/>
    <w:rsid w:val="208B7348"/>
    <w:rsid w:val="20B80938"/>
    <w:rsid w:val="23A72306"/>
    <w:rsid w:val="2405461A"/>
    <w:rsid w:val="242B7D91"/>
    <w:rsid w:val="24A13BCE"/>
    <w:rsid w:val="2561229E"/>
    <w:rsid w:val="27684640"/>
    <w:rsid w:val="296E196A"/>
    <w:rsid w:val="2A986DEF"/>
    <w:rsid w:val="2BDE4392"/>
    <w:rsid w:val="2E5F003E"/>
    <w:rsid w:val="2F710305"/>
    <w:rsid w:val="2FA22C4C"/>
    <w:rsid w:val="307C39BF"/>
    <w:rsid w:val="30971F52"/>
    <w:rsid w:val="31636450"/>
    <w:rsid w:val="317B29B7"/>
    <w:rsid w:val="31840B4D"/>
    <w:rsid w:val="31DD26EB"/>
    <w:rsid w:val="32951856"/>
    <w:rsid w:val="33D705A1"/>
    <w:rsid w:val="38583847"/>
    <w:rsid w:val="39EF58F1"/>
    <w:rsid w:val="3CBA010B"/>
    <w:rsid w:val="3D393726"/>
    <w:rsid w:val="3E5F6204"/>
    <w:rsid w:val="3EA87D34"/>
    <w:rsid w:val="3F2E5B3F"/>
    <w:rsid w:val="42AC28C8"/>
    <w:rsid w:val="444F082A"/>
    <w:rsid w:val="49734C84"/>
    <w:rsid w:val="4B380E14"/>
    <w:rsid w:val="4CB467DD"/>
    <w:rsid w:val="4D6E4D26"/>
    <w:rsid w:val="4E647C46"/>
    <w:rsid w:val="4ED32CA5"/>
    <w:rsid w:val="50CB284A"/>
    <w:rsid w:val="50E457C8"/>
    <w:rsid w:val="51491414"/>
    <w:rsid w:val="516F72BF"/>
    <w:rsid w:val="51B17714"/>
    <w:rsid w:val="51CE4B21"/>
    <w:rsid w:val="524D511F"/>
    <w:rsid w:val="52BD07F0"/>
    <w:rsid w:val="5370513B"/>
    <w:rsid w:val="544E2B08"/>
    <w:rsid w:val="552825CC"/>
    <w:rsid w:val="56420FDF"/>
    <w:rsid w:val="57817AE9"/>
    <w:rsid w:val="58883D79"/>
    <w:rsid w:val="59F16A7A"/>
    <w:rsid w:val="5BA01AF8"/>
    <w:rsid w:val="5C8C341B"/>
    <w:rsid w:val="5E26550F"/>
    <w:rsid w:val="5E3F04E9"/>
    <w:rsid w:val="60462DC9"/>
    <w:rsid w:val="605621BF"/>
    <w:rsid w:val="610E63F5"/>
    <w:rsid w:val="61EF0B0E"/>
    <w:rsid w:val="628F5A13"/>
    <w:rsid w:val="631614BC"/>
    <w:rsid w:val="63473627"/>
    <w:rsid w:val="63AB2F6E"/>
    <w:rsid w:val="64FE2F97"/>
    <w:rsid w:val="659F73E7"/>
    <w:rsid w:val="65EB611B"/>
    <w:rsid w:val="65FF38FD"/>
    <w:rsid w:val="6949691B"/>
    <w:rsid w:val="69A91C46"/>
    <w:rsid w:val="69F65FC4"/>
    <w:rsid w:val="6B5F16FF"/>
    <w:rsid w:val="6BDE4FBF"/>
    <w:rsid w:val="6CEE2D7C"/>
    <w:rsid w:val="6DF91D9E"/>
    <w:rsid w:val="6E0C3850"/>
    <w:rsid w:val="6F5665F6"/>
    <w:rsid w:val="6FC91143"/>
    <w:rsid w:val="70E74B4E"/>
    <w:rsid w:val="71391DAA"/>
    <w:rsid w:val="713D73C3"/>
    <w:rsid w:val="737A5811"/>
    <w:rsid w:val="75CC3B2F"/>
    <w:rsid w:val="764F3097"/>
    <w:rsid w:val="76990E0A"/>
    <w:rsid w:val="76AA29C3"/>
    <w:rsid w:val="775C5DE1"/>
    <w:rsid w:val="77AE2AC7"/>
    <w:rsid w:val="788C15AE"/>
    <w:rsid w:val="7B7147FB"/>
    <w:rsid w:val="7C285183"/>
    <w:rsid w:val="7F9516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unhideWhenUsed/>
    <w:qFormat/>
    <w:uiPriority w:val="99"/>
    <w:rPr>
      <w:rFonts w:ascii="Calibri" w:hAnsi="Calibri" w:eastAsia="宋体" w:cs="Times New Roman"/>
      <w:szCs w:val="22"/>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val="0"/>
      <w:autoSpaceDN w:val="0"/>
      <w:snapToGrid w:val="0"/>
      <w:spacing w:beforeAutospacing="1" w:afterAutospacing="1" w:line="590" w:lineRule="atLeast"/>
      <w:ind w:firstLine="624"/>
      <w:jc w:val="left"/>
    </w:pPr>
    <w:rPr>
      <w:rFonts w:ascii="Times New Roman" w:hAnsi="Times New Roman" w:eastAsia="方正仿宋_GBK" w:cs="Times New Roman"/>
      <w:snapToGrid w:val="0"/>
      <w:kern w:val="0"/>
      <w:sz w:val="24"/>
      <w:szCs w:val="20"/>
    </w:rPr>
  </w:style>
  <w:style w:type="character" w:customStyle="1" w:styleId="9">
    <w:name w:val="批注文字 Char"/>
    <w:basedOn w:val="8"/>
    <w:link w:val="2"/>
    <w:qFormat/>
    <w:uiPriority w:val="99"/>
    <w:rPr>
      <w:rFonts w:ascii="Calibri" w:hAnsi="Calibri" w:eastAsia="宋体" w:cs="Times New Roman"/>
    </w:rPr>
  </w:style>
  <w:style w:type="paragraph" w:customStyle="1" w:styleId="10">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1">
    <w:name w:val="Body text|2_"/>
    <w:basedOn w:val="8"/>
    <w:link w:val="12"/>
    <w:qFormat/>
    <w:uiPriority w:val="0"/>
    <w:rPr>
      <w:rFonts w:ascii="PMingLiU" w:hAnsi="PMingLiU" w:eastAsia="PMingLiU" w:cs="PMingLiU"/>
      <w:spacing w:val="30"/>
      <w:sz w:val="28"/>
      <w:szCs w:val="28"/>
      <w:shd w:val="clear" w:color="auto" w:fill="FFFFFF"/>
    </w:rPr>
  </w:style>
  <w:style w:type="paragraph" w:customStyle="1" w:styleId="12">
    <w:name w:val="Body text|2"/>
    <w:basedOn w:val="1"/>
    <w:link w:val="11"/>
    <w:qFormat/>
    <w:uiPriority w:val="0"/>
    <w:pPr>
      <w:shd w:val="clear" w:color="auto" w:fill="FFFFFF"/>
      <w:spacing w:before="640" w:line="554" w:lineRule="exact"/>
      <w:jc w:val="distribute"/>
    </w:pPr>
    <w:rPr>
      <w:rFonts w:ascii="PMingLiU" w:hAnsi="PMingLiU" w:eastAsia="PMingLiU" w:cs="PMingLiU"/>
      <w:spacing w:val="30"/>
      <w:sz w:val="28"/>
      <w:szCs w:val="28"/>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qFormat/>
    <w:uiPriority w:val="99"/>
    <w:rPr>
      <w:kern w:val="2"/>
      <w:sz w:val="18"/>
      <w:szCs w:val="18"/>
    </w:rPr>
  </w:style>
  <w:style w:type="character" w:customStyle="1" w:styleId="16">
    <w:name w:val="apple-converted-space"/>
    <w:basedOn w:val="8"/>
    <w:qFormat/>
    <w:uiPriority w:val="0"/>
  </w:style>
  <w:style w:type="character" w:customStyle="1" w:styleId="17">
    <w:name w:val="Body text|1_"/>
    <w:basedOn w:val="8"/>
    <w:link w:val="18"/>
    <w:qFormat/>
    <w:uiPriority w:val="0"/>
    <w:rPr>
      <w:rFonts w:ascii="宋体" w:hAnsi="宋体" w:eastAsia="宋体" w:cs="宋体"/>
      <w:sz w:val="28"/>
      <w:szCs w:val="28"/>
      <w:lang w:val="zh-TW" w:eastAsia="zh-TW" w:bidi="zh-TW"/>
    </w:rPr>
  </w:style>
  <w:style w:type="paragraph" w:customStyle="1" w:styleId="18">
    <w:name w:val="Body text|1"/>
    <w:basedOn w:val="1"/>
    <w:link w:val="17"/>
    <w:qFormat/>
    <w:uiPriority w:val="0"/>
    <w:pPr>
      <w:spacing w:line="415" w:lineRule="auto"/>
      <w:ind w:firstLine="400"/>
      <w:jc w:val="left"/>
    </w:pPr>
    <w:rPr>
      <w:rFonts w:ascii="宋体" w:hAnsi="宋体" w:eastAsia="宋体" w:cs="宋体"/>
      <w:kern w:val="0"/>
      <w:sz w:val="28"/>
      <w:szCs w:val="28"/>
      <w:lang w:val="zh-TW" w:eastAsia="zh-TW" w:bidi="zh-TW"/>
    </w:rPr>
  </w:style>
  <w:style w:type="paragraph" w:styleId="19">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4D91E-3C9B-44E4-9712-60B59B5192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1233</Words>
  <Characters>7034</Characters>
  <Lines>58</Lines>
  <Paragraphs>16</Paragraphs>
  <TotalTime>4</TotalTime>
  <ScaleCrop>false</ScaleCrop>
  <LinksUpToDate>false</LinksUpToDate>
  <CharactersWithSpaces>8251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2021-04-01T12:02:00Z</dcterms:created>
  <dc:creator>Administrator</dc:creator>
  <cp:lastModifiedBy>Administrator</cp:lastModifiedBy>
  <cp:lastPrinted>2023-04-25T03:32:00Z</cp:lastPrinted>
  <dcterms:modified xsi:type="dcterms:W3CDTF">2023-04-25T07:17:29Z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C1AFCC66602C4111856573C3CCC00A31</vt:lpwstr>
  </property>
  <property fmtid="{D5CDD505-2E9C-101B-9397-08002B2CF9AE}" pid="4" name="KSOSaveFontToCloudKey">
    <vt:lpwstr>263091132_cloud</vt:lpwstr>
  </property>
</Properties>
</file>